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  <w:t>第二十届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  <w:t>新疆社会科学界学术年会</w:t>
      </w:r>
      <w:r>
        <w:rPr>
          <w:rFonts w:hint="eastAsia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  <w:t>论文汇总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6"/>
          <w:szCs w:val="36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" w:eastAsia="zh-CN"/>
        </w:rPr>
        <w:t>学术专场）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thick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报送单位（盖章）：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16"/>
        <w:gridCol w:w="2667"/>
        <w:gridCol w:w="4967"/>
        <w:gridCol w:w="113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单位及职务、职称</w:t>
            </w: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查重率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联系人：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531" w:right="2098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zdlMTMyYjlhMmIzODQ2MDcxNjU0ZTUzODc5MWQifQ=="/>
  </w:docVars>
  <w:rsids>
    <w:rsidRoot w:val="399D72C3"/>
    <w:rsid w:val="399D72C3"/>
    <w:rsid w:val="700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2023-03-22T09:39:00Z</dcterms:created>
  <dc:creator>magicbook</dc:creator>
  <cp:lastModifiedBy>magicbook</cp:lastModifiedBy>
  <dcterms:modified xsi:type="dcterms:W3CDTF">2023-03-22T09:40:03Z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6C92397A720948618879BD4E5F99395E</vt:lpwstr>
  </property>
</Properties>
</file>